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Buyer may add Cluster Members during the Call-Off Contract Period by complying with Clause 24 (Changing the Contract) of the Core Terms and the Regulations.</w:t>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A to this Schedule.</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3.4 are subject to the following provisions: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A">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D">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1">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RM6226 Debt Resolution Services</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4">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6">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vop4qnSUh5CjYOxGQtukIRqc9g==">AMUW2mX1+otHQwiwTZC0QuVn8U8C0EYHmN4mnb9HxPZtJlYmhXg+N9E8f+LYkDJdEYKO1V/NasyUpeKyuFk/ReKS90qnAq8z7uJOGieSsQVH7SBGXrNrYY6f/JPz14A1kMhgqm+Z6t9Hu6OAJV9+oKDpkzjbpK2qJHB6VkSvxZCc2fzfuOrYAjY=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2021-07-08T13:54:00Z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